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86D781" w14:textId="77777777" w:rsidR="00F04472" w:rsidRPr="00AE5418" w:rsidRDefault="00F04472" w:rsidP="00F04472">
      <w:pPr>
        <w:spacing w:after="0" w:line="360" w:lineRule="auto"/>
        <w:jc w:val="both"/>
        <w:rPr>
          <w:rStyle w:val="normaltextrun"/>
          <w:rFonts w:eastAsiaTheme="minorEastAsia"/>
          <w:bCs/>
          <w:color w:val="10069F"/>
          <w:sz w:val="20"/>
          <w:szCs w:val="20"/>
          <w:shd w:val="clear" w:color="auto" w:fill="FFFFFF"/>
        </w:rPr>
      </w:pPr>
      <w:r>
        <w:rPr>
          <w:rStyle w:val="normaltextrun"/>
          <w:rFonts w:ascii="Arial" w:eastAsiaTheme="minorEastAsia" w:hAnsi="Arial" w:cs="Arial"/>
          <w:b/>
          <w:bCs/>
          <w:color w:val="10069F"/>
          <w:sz w:val="20"/>
          <w:szCs w:val="20"/>
          <w:shd w:val="clear" w:color="auto" w:fill="FFFFFF"/>
        </w:rPr>
        <w:t>Segunda</w:t>
      </w:r>
      <w:r w:rsidRPr="00AE5418">
        <w:rPr>
          <w:rStyle w:val="normaltextrun"/>
          <w:rFonts w:ascii="Arial" w:eastAsiaTheme="minorEastAsia" w:hAnsi="Arial" w:cs="Arial"/>
          <w:b/>
          <w:bCs/>
          <w:color w:val="10069F"/>
          <w:sz w:val="20"/>
          <w:szCs w:val="20"/>
          <w:shd w:val="clear" w:color="auto" w:fill="FFFFFF"/>
        </w:rPr>
        <w:t xml:space="preserve"> convocatoria de subvenciones (202</w:t>
      </w:r>
      <w:r>
        <w:rPr>
          <w:rStyle w:val="normaltextrun"/>
          <w:rFonts w:ascii="Arial" w:eastAsiaTheme="minorEastAsia" w:hAnsi="Arial" w:cs="Arial"/>
          <w:b/>
          <w:bCs/>
          <w:color w:val="10069F"/>
          <w:sz w:val="20"/>
          <w:szCs w:val="20"/>
          <w:shd w:val="clear" w:color="auto" w:fill="FFFFFF"/>
        </w:rPr>
        <w:t>4</w:t>
      </w:r>
      <w:r w:rsidRPr="00AE5418">
        <w:rPr>
          <w:rStyle w:val="normaltextrun"/>
          <w:rFonts w:ascii="Arial" w:eastAsiaTheme="minorEastAsia" w:hAnsi="Arial" w:cs="Arial"/>
          <w:b/>
          <w:bCs/>
          <w:color w:val="10069F"/>
          <w:sz w:val="20"/>
          <w:szCs w:val="20"/>
          <w:shd w:val="clear" w:color="auto" w:fill="FFFFFF"/>
        </w:rPr>
        <w:t>) en concurrencia competitiva de proyectos para la digitalización de comunidades de usuarios de agua para regadío en el marco del Plan de Recuperación, Transformación y Resiliencia (PERTE Digitalización del Ciclo del Agua)</w:t>
      </w:r>
      <w:r w:rsidRPr="00AE5418">
        <w:rPr>
          <w:rStyle w:val="normaltextrun"/>
          <w:rFonts w:eastAsiaTheme="minorEastAsia"/>
          <w:b/>
          <w:bCs/>
          <w:sz w:val="20"/>
          <w:szCs w:val="20"/>
        </w:rPr>
        <w:t> </w:t>
      </w:r>
    </w:p>
    <w:p w14:paraId="3C3D2FE8" w14:textId="77777777" w:rsidR="0073260F" w:rsidRPr="00E42BFF" w:rsidRDefault="0073260F" w:rsidP="00E42BFF">
      <w:pPr>
        <w:spacing w:after="0" w:line="360" w:lineRule="auto"/>
        <w:ind w:left="708" w:hanging="708"/>
        <w:jc w:val="center"/>
        <w:rPr>
          <w:rFonts w:ascii="Arial" w:hAnsi="Arial" w:cs="Arial"/>
          <w:b/>
          <w:sz w:val="20"/>
          <w:szCs w:val="20"/>
        </w:rPr>
      </w:pPr>
    </w:p>
    <w:p w14:paraId="1263AB34" w14:textId="53C477A5" w:rsidR="00F05774" w:rsidRDefault="00F05774" w:rsidP="00E42BFF">
      <w:pPr>
        <w:spacing w:after="0" w:line="360" w:lineRule="auto"/>
        <w:ind w:left="709" w:hanging="709"/>
        <w:jc w:val="center"/>
        <w:rPr>
          <w:rFonts w:ascii="Arial" w:hAnsi="Arial" w:cs="Arial"/>
          <w:b/>
          <w:sz w:val="20"/>
          <w:szCs w:val="20"/>
        </w:rPr>
      </w:pPr>
      <w:r w:rsidRPr="00E42BFF">
        <w:rPr>
          <w:rFonts w:ascii="Arial" w:hAnsi="Arial" w:cs="Arial"/>
          <w:b/>
          <w:sz w:val="20"/>
          <w:szCs w:val="20"/>
        </w:rPr>
        <w:t xml:space="preserve">ANEXO </w:t>
      </w:r>
      <w:r w:rsidR="009A254D" w:rsidRPr="00E42BFF">
        <w:rPr>
          <w:rFonts w:ascii="Arial" w:hAnsi="Arial" w:cs="Arial"/>
          <w:b/>
          <w:sz w:val="20"/>
          <w:szCs w:val="20"/>
        </w:rPr>
        <w:t>5.1.1</w:t>
      </w:r>
      <w:r w:rsidRPr="00E42BFF">
        <w:rPr>
          <w:rFonts w:ascii="Arial" w:hAnsi="Arial" w:cs="Arial"/>
          <w:b/>
          <w:sz w:val="20"/>
          <w:szCs w:val="20"/>
        </w:rPr>
        <w:t xml:space="preserve"> INFORMACIÓN COMPLEMENTARIA SOBRE AVALES</w:t>
      </w:r>
    </w:p>
    <w:p w14:paraId="22437983" w14:textId="77777777" w:rsidR="00E42BFF" w:rsidRPr="00E42BFF" w:rsidRDefault="00E42BFF" w:rsidP="00E42BFF">
      <w:pPr>
        <w:spacing w:after="0" w:line="360" w:lineRule="auto"/>
        <w:ind w:left="709" w:hanging="709"/>
        <w:jc w:val="center"/>
        <w:rPr>
          <w:rFonts w:ascii="Arial" w:hAnsi="Arial" w:cs="Arial"/>
          <w:b/>
          <w:sz w:val="20"/>
          <w:szCs w:val="20"/>
        </w:rPr>
      </w:pPr>
    </w:p>
    <w:p w14:paraId="1944D3DB" w14:textId="77777777" w:rsidR="00F05774" w:rsidRPr="00E42BFF" w:rsidRDefault="00F05774" w:rsidP="00E42BFF">
      <w:pPr>
        <w:pStyle w:val="NormalWeb"/>
        <w:shd w:val="clear" w:color="auto" w:fill="FFFFFF"/>
        <w:spacing w:before="0" w:beforeAutospacing="0" w:after="0" w:afterAutospacing="0" w:line="360" w:lineRule="auto"/>
        <w:jc w:val="both"/>
        <w:textAlignment w:val="baseline"/>
        <w:rPr>
          <w:rFonts w:ascii="Arial" w:hAnsi="Arial" w:cs="Arial"/>
          <w:sz w:val="20"/>
          <w:szCs w:val="20"/>
        </w:rPr>
      </w:pPr>
      <w:r w:rsidRPr="00E42BFF">
        <w:rPr>
          <w:rFonts w:ascii="Arial" w:hAnsi="Arial" w:cs="Arial"/>
          <w:sz w:val="20"/>
          <w:szCs w:val="20"/>
        </w:rPr>
        <w:t>Cuando el Ministerio para la Transición Ecológica concede un anticipo sobre la ayuda concedida necesita una garantía de que podrá recuperar ese dinero anticipado en caso de que la entidad a la que se le da el anticipo no ejecute o ejecute mal las actuaciones para las que se concedió la ayuda. Por eso es necesario constituir un aval bancario. Las figuras que intervienen son, principalmente 3: el avalado (entidad a la que se le da el anticipo), avalista (el banco que emite el aval) y el beneficiario (Ministerio para la Transición Ecológica).</w:t>
      </w:r>
    </w:p>
    <w:p w14:paraId="00802931" w14:textId="77777777" w:rsidR="00F05774" w:rsidRPr="00E42BFF" w:rsidRDefault="00F05774" w:rsidP="00E42BFF">
      <w:pPr>
        <w:pStyle w:val="NormalWeb"/>
        <w:shd w:val="clear" w:color="auto" w:fill="FFFFFF"/>
        <w:spacing w:before="0" w:beforeAutospacing="0" w:after="0" w:afterAutospacing="0" w:line="360" w:lineRule="auto"/>
        <w:jc w:val="both"/>
        <w:textAlignment w:val="baseline"/>
        <w:rPr>
          <w:rFonts w:ascii="Arial" w:hAnsi="Arial" w:cs="Arial"/>
          <w:sz w:val="20"/>
          <w:szCs w:val="20"/>
        </w:rPr>
      </w:pPr>
    </w:p>
    <w:p w14:paraId="4FB8EBDB" w14:textId="77777777" w:rsidR="00F05774" w:rsidRPr="00E42BFF" w:rsidRDefault="00F05774" w:rsidP="00E42BFF">
      <w:pPr>
        <w:pStyle w:val="NormalWeb"/>
        <w:shd w:val="clear" w:color="auto" w:fill="FFFFFF"/>
        <w:spacing w:before="0" w:beforeAutospacing="0" w:after="0" w:afterAutospacing="0" w:line="360" w:lineRule="auto"/>
        <w:jc w:val="both"/>
        <w:textAlignment w:val="baseline"/>
        <w:rPr>
          <w:rFonts w:ascii="Arial" w:hAnsi="Arial" w:cs="Arial"/>
          <w:sz w:val="20"/>
          <w:szCs w:val="20"/>
        </w:rPr>
      </w:pPr>
      <w:r w:rsidRPr="00E42BFF">
        <w:rPr>
          <w:rFonts w:ascii="Arial" w:hAnsi="Arial" w:cs="Arial"/>
          <w:sz w:val="20"/>
          <w:szCs w:val="20"/>
        </w:rPr>
        <w:t>Un </w:t>
      </w:r>
      <w:r w:rsidRPr="00E42BFF">
        <w:rPr>
          <w:rFonts w:ascii="Arial" w:hAnsi="Arial" w:cs="Arial"/>
          <w:b/>
          <w:bCs/>
          <w:sz w:val="20"/>
          <w:szCs w:val="20"/>
          <w:bdr w:val="none" w:sz="0" w:space="0" w:color="auto" w:frame="1"/>
        </w:rPr>
        <w:t>aval bancario</w:t>
      </w:r>
      <w:r w:rsidRPr="00E42BFF">
        <w:rPr>
          <w:rFonts w:ascii="Arial" w:hAnsi="Arial" w:cs="Arial"/>
          <w:sz w:val="20"/>
          <w:szCs w:val="20"/>
        </w:rPr>
        <w:t> es una operación de </w:t>
      </w:r>
      <w:r w:rsidRPr="00E42BFF">
        <w:rPr>
          <w:rFonts w:ascii="Arial" w:hAnsi="Arial" w:cs="Arial"/>
          <w:b/>
          <w:bCs/>
          <w:sz w:val="20"/>
          <w:szCs w:val="20"/>
          <w:bdr w:val="none" w:sz="0" w:space="0" w:color="auto" w:frame="1"/>
        </w:rPr>
        <w:t>garantía</w:t>
      </w:r>
      <w:r w:rsidRPr="00E42BFF">
        <w:rPr>
          <w:rFonts w:ascii="Arial" w:hAnsi="Arial" w:cs="Arial"/>
          <w:sz w:val="20"/>
          <w:szCs w:val="20"/>
        </w:rPr>
        <w:t> por la que el avalista (banco) se compromete a responder del </w:t>
      </w:r>
      <w:r w:rsidRPr="00E42BFF">
        <w:rPr>
          <w:rFonts w:ascii="Arial" w:hAnsi="Arial" w:cs="Arial"/>
          <w:b/>
          <w:bCs/>
          <w:sz w:val="20"/>
          <w:szCs w:val="20"/>
          <w:bdr w:val="none" w:sz="0" w:space="0" w:color="auto" w:frame="1"/>
        </w:rPr>
        <w:t>cumplimiento de una obligación</w:t>
      </w:r>
      <w:r w:rsidRPr="00E42BFF">
        <w:rPr>
          <w:rFonts w:ascii="Arial" w:hAnsi="Arial" w:cs="Arial"/>
          <w:sz w:val="20"/>
          <w:szCs w:val="20"/>
        </w:rPr>
        <w:t> del avalado (entidad a la que se concede el anticipo) ante un tercero beneficiario (Ministerio), en caso de que el avalado no lo haga. Con frecuencia las obligaciones garantizadas consisten en el pago de una determinada cantidad de dinero.</w:t>
      </w:r>
    </w:p>
    <w:p w14:paraId="043D0D1A" w14:textId="77777777" w:rsidR="00F05774" w:rsidRPr="00E42BFF" w:rsidRDefault="00F05774" w:rsidP="00E42BFF">
      <w:pPr>
        <w:pStyle w:val="NormalWeb"/>
        <w:shd w:val="clear" w:color="auto" w:fill="FFFFFF"/>
        <w:spacing w:before="0" w:beforeAutospacing="0" w:after="0" w:afterAutospacing="0" w:line="360" w:lineRule="auto"/>
        <w:jc w:val="both"/>
        <w:textAlignment w:val="baseline"/>
        <w:rPr>
          <w:rFonts w:ascii="Arial" w:hAnsi="Arial" w:cs="Arial"/>
          <w:sz w:val="20"/>
          <w:szCs w:val="20"/>
        </w:rPr>
      </w:pPr>
      <w:r w:rsidRPr="00E42BFF">
        <w:rPr>
          <w:rFonts w:ascii="Arial" w:hAnsi="Arial" w:cs="Arial"/>
          <w:sz w:val="20"/>
          <w:szCs w:val="20"/>
        </w:rPr>
        <w:t>Por tanto, el banco en estas operaciones se compromete a </w:t>
      </w:r>
      <w:r w:rsidRPr="00E42BFF">
        <w:rPr>
          <w:rFonts w:ascii="Arial" w:hAnsi="Arial" w:cs="Arial"/>
          <w:b/>
          <w:bCs/>
          <w:sz w:val="20"/>
          <w:szCs w:val="20"/>
          <w:bdr w:val="none" w:sz="0" w:space="0" w:color="auto" w:frame="1"/>
        </w:rPr>
        <w:t>cumplir</w:t>
      </w:r>
      <w:r w:rsidRPr="00E42BFF">
        <w:rPr>
          <w:rFonts w:ascii="Arial" w:hAnsi="Arial" w:cs="Arial"/>
          <w:sz w:val="20"/>
          <w:szCs w:val="20"/>
        </w:rPr>
        <w:t xml:space="preserve">, si el cliente (avalado) no lo hace, la obligación que hubiera contraído frente al beneficiario (Ministerio). </w:t>
      </w:r>
    </w:p>
    <w:p w14:paraId="352C4389" w14:textId="77777777" w:rsidR="00F05774" w:rsidRPr="00E42BFF" w:rsidRDefault="00F05774" w:rsidP="00E42BFF">
      <w:pPr>
        <w:spacing w:after="0" w:line="360" w:lineRule="auto"/>
        <w:jc w:val="both"/>
        <w:rPr>
          <w:rFonts w:ascii="Arial" w:hAnsi="Arial" w:cs="Arial"/>
          <w:sz w:val="20"/>
          <w:szCs w:val="20"/>
          <w:shd w:val="clear" w:color="auto" w:fill="FFFFFF"/>
        </w:rPr>
      </w:pPr>
    </w:p>
    <w:p w14:paraId="7E27B53C" w14:textId="77777777" w:rsidR="00F05774" w:rsidRPr="00E42BFF" w:rsidRDefault="00F05774" w:rsidP="00E42BFF">
      <w:pPr>
        <w:spacing w:after="0" w:line="360" w:lineRule="auto"/>
        <w:jc w:val="both"/>
        <w:rPr>
          <w:rFonts w:ascii="Arial" w:hAnsi="Arial" w:cs="Arial"/>
          <w:sz w:val="20"/>
          <w:szCs w:val="20"/>
        </w:rPr>
      </w:pPr>
      <w:r w:rsidRPr="00E42BFF">
        <w:rPr>
          <w:rFonts w:ascii="Arial" w:hAnsi="Arial" w:cs="Arial"/>
          <w:b/>
          <w:sz w:val="20"/>
          <w:szCs w:val="20"/>
          <w:shd w:val="clear" w:color="auto" w:fill="FFFFFF"/>
        </w:rPr>
        <w:t>El aval solidario</w:t>
      </w:r>
      <w:r w:rsidRPr="00E42BFF">
        <w:rPr>
          <w:rFonts w:ascii="Arial" w:hAnsi="Arial" w:cs="Arial"/>
          <w:sz w:val="20"/>
          <w:szCs w:val="20"/>
          <w:shd w:val="clear" w:color="auto" w:fill="FFFFFF"/>
        </w:rPr>
        <w:t xml:space="preserve"> implica que, en caso de que el avalado (entidad que ha recibido el anticipo) incumpla sus obligaciones con el beneficiario del mismo (Ministerio), éste último podrá dirigirse contra el avalista (banco) para reclamarle la totalidad de la deuda.</w:t>
      </w:r>
      <w:r w:rsidRPr="00E42BFF">
        <w:rPr>
          <w:rFonts w:ascii="Arial" w:hAnsi="Arial" w:cs="Arial"/>
          <w:sz w:val="20"/>
          <w:szCs w:val="20"/>
        </w:rPr>
        <w:t xml:space="preserve"> </w:t>
      </w:r>
    </w:p>
    <w:p w14:paraId="5460B02A" w14:textId="77777777" w:rsidR="00F05774" w:rsidRPr="00E42BFF" w:rsidRDefault="00F05774" w:rsidP="00E42BFF">
      <w:pPr>
        <w:spacing w:after="0" w:line="360" w:lineRule="auto"/>
        <w:jc w:val="both"/>
        <w:rPr>
          <w:rFonts w:ascii="Arial" w:hAnsi="Arial" w:cs="Arial"/>
          <w:sz w:val="20"/>
          <w:szCs w:val="20"/>
        </w:rPr>
      </w:pPr>
    </w:p>
    <w:p w14:paraId="1C530E5B" w14:textId="77777777" w:rsidR="00F05774" w:rsidRPr="00E42BFF" w:rsidRDefault="00F05774" w:rsidP="00E42BFF">
      <w:pPr>
        <w:spacing w:after="0" w:line="360" w:lineRule="auto"/>
        <w:jc w:val="both"/>
        <w:rPr>
          <w:rFonts w:ascii="Arial" w:hAnsi="Arial" w:cs="Arial"/>
          <w:sz w:val="20"/>
          <w:szCs w:val="20"/>
          <w:shd w:val="clear" w:color="auto" w:fill="FFFFFF"/>
        </w:rPr>
      </w:pPr>
      <w:r w:rsidRPr="00E42BFF">
        <w:rPr>
          <w:rFonts w:ascii="Arial" w:hAnsi="Arial" w:cs="Arial"/>
          <w:b/>
          <w:sz w:val="20"/>
          <w:szCs w:val="20"/>
          <w:shd w:val="clear" w:color="auto" w:fill="FFFFFF"/>
        </w:rPr>
        <w:t>Un aval a primer requerimiento</w:t>
      </w:r>
      <w:r w:rsidRPr="00E42BFF">
        <w:rPr>
          <w:rFonts w:ascii="Arial" w:hAnsi="Arial" w:cs="Arial"/>
          <w:sz w:val="20"/>
          <w:szCs w:val="20"/>
          <w:shd w:val="clear" w:color="auto" w:fill="FFFFFF"/>
        </w:rPr>
        <w:t> </w:t>
      </w:r>
      <w:r w:rsidRPr="00E42BFF">
        <w:rPr>
          <w:rFonts w:ascii="Arial" w:hAnsi="Arial" w:cs="Arial"/>
          <w:bCs/>
          <w:sz w:val="20"/>
          <w:szCs w:val="20"/>
          <w:shd w:val="clear" w:color="auto" w:fill="FFFFFF"/>
        </w:rPr>
        <w:t xml:space="preserve">es </w:t>
      </w:r>
      <w:r w:rsidRPr="00E42BFF">
        <w:rPr>
          <w:rFonts w:ascii="Arial" w:hAnsi="Arial" w:cs="Arial"/>
          <w:sz w:val="20"/>
          <w:szCs w:val="20"/>
          <w:shd w:val="clear" w:color="auto" w:fill="FFFFFF"/>
        </w:rPr>
        <w:t>una garantía poderosa porque </w:t>
      </w:r>
      <w:r w:rsidRPr="00E42BFF">
        <w:rPr>
          <w:rFonts w:ascii="Arial" w:hAnsi="Arial" w:cs="Arial"/>
          <w:bCs/>
          <w:sz w:val="20"/>
          <w:szCs w:val="20"/>
          <w:shd w:val="clear" w:color="auto" w:fill="FFFFFF"/>
        </w:rPr>
        <w:t>el avalista (Banco) se compromete a pagar sin necesidad de que se acredite previamente el incumplimiento del avalado</w:t>
      </w:r>
      <w:r w:rsidRPr="00E42BFF">
        <w:rPr>
          <w:rFonts w:ascii="Arial" w:hAnsi="Arial" w:cs="Arial"/>
          <w:sz w:val="20"/>
          <w:szCs w:val="20"/>
          <w:shd w:val="clear" w:color="auto" w:fill="FFFFFF"/>
        </w:rPr>
        <w:t>. En otras palabras, el avalista está obligado a cumplir la obligación en cuanto sea requerido por el beneficiario del aval, sin esperar a que el avalado no cumpla.</w:t>
      </w:r>
    </w:p>
    <w:p w14:paraId="395A7D65" w14:textId="77777777" w:rsidR="00F05774" w:rsidRPr="00E42BFF" w:rsidRDefault="00F05774" w:rsidP="00E42BFF">
      <w:pPr>
        <w:spacing w:after="0" w:line="360" w:lineRule="auto"/>
        <w:jc w:val="both"/>
        <w:rPr>
          <w:rFonts w:ascii="Arial" w:hAnsi="Arial" w:cs="Arial"/>
          <w:sz w:val="20"/>
          <w:szCs w:val="20"/>
        </w:rPr>
      </w:pPr>
    </w:p>
    <w:p w14:paraId="5F895857" w14:textId="77777777" w:rsidR="00F05774" w:rsidRPr="00E42BFF" w:rsidRDefault="00F05774" w:rsidP="00E42BFF">
      <w:pPr>
        <w:spacing w:after="0" w:line="360" w:lineRule="auto"/>
        <w:jc w:val="both"/>
        <w:rPr>
          <w:rFonts w:ascii="Arial" w:hAnsi="Arial" w:cs="Arial"/>
          <w:bCs/>
          <w:sz w:val="20"/>
          <w:szCs w:val="20"/>
          <w:shd w:val="clear" w:color="auto" w:fill="FFFFFF"/>
        </w:rPr>
      </w:pPr>
      <w:r w:rsidRPr="00E42BFF">
        <w:rPr>
          <w:rFonts w:ascii="Arial" w:hAnsi="Arial" w:cs="Arial"/>
          <w:sz w:val="20"/>
          <w:szCs w:val="20"/>
          <w:shd w:val="clear" w:color="auto" w:fill="FFFFFF"/>
        </w:rPr>
        <w:t>El </w:t>
      </w:r>
      <w:r w:rsidRPr="00E42BFF">
        <w:rPr>
          <w:rFonts w:ascii="Arial" w:hAnsi="Arial" w:cs="Arial"/>
          <w:b/>
          <w:bCs/>
          <w:sz w:val="20"/>
          <w:szCs w:val="20"/>
          <w:shd w:val="clear" w:color="auto" w:fill="FFFFFF"/>
        </w:rPr>
        <w:t xml:space="preserve">beneficio de excusión </w:t>
      </w:r>
      <w:r w:rsidRPr="00E42BFF">
        <w:rPr>
          <w:rFonts w:ascii="Arial" w:hAnsi="Arial" w:cs="Arial"/>
          <w:bCs/>
          <w:sz w:val="20"/>
          <w:szCs w:val="20"/>
          <w:shd w:val="clear" w:color="auto" w:fill="FFFFFF"/>
        </w:rPr>
        <w:t>es el derecho que ostenta el fiador (Banco) para oponerse a la ejecución de sus bienes, prestados en garantía, hasta que el beneficiario (Ministerio) no haya ejecutado todos los bienes del avalado (entidad que ha recibido el anticipo)</w:t>
      </w:r>
    </w:p>
    <w:p w14:paraId="330EFAD7" w14:textId="77777777" w:rsidR="00F05774" w:rsidRPr="00E42BFF" w:rsidRDefault="00F05774" w:rsidP="00E42BFF">
      <w:pPr>
        <w:spacing w:after="0" w:line="360" w:lineRule="auto"/>
        <w:jc w:val="both"/>
        <w:rPr>
          <w:rFonts w:ascii="Arial" w:hAnsi="Arial" w:cs="Arial"/>
          <w:bCs/>
          <w:sz w:val="20"/>
          <w:szCs w:val="20"/>
          <w:shd w:val="clear" w:color="auto" w:fill="FFFFFF"/>
        </w:rPr>
      </w:pPr>
    </w:p>
    <w:p w14:paraId="60B9DFE6" w14:textId="77777777" w:rsidR="00F05774" w:rsidRPr="00E42BFF" w:rsidRDefault="00F05774" w:rsidP="00E42BFF">
      <w:pPr>
        <w:spacing w:after="0" w:line="360" w:lineRule="auto"/>
        <w:jc w:val="both"/>
        <w:rPr>
          <w:rFonts w:ascii="Arial" w:hAnsi="Arial" w:cs="Arial"/>
          <w:sz w:val="20"/>
          <w:szCs w:val="20"/>
          <w:shd w:val="clear" w:color="auto" w:fill="FFFFFF"/>
        </w:rPr>
      </w:pPr>
      <w:r w:rsidRPr="00E42BFF">
        <w:rPr>
          <w:rFonts w:ascii="Arial" w:hAnsi="Arial" w:cs="Arial"/>
          <w:b/>
          <w:bCs/>
          <w:sz w:val="20"/>
          <w:szCs w:val="20"/>
          <w:shd w:val="clear" w:color="auto" w:fill="FFFFFF"/>
        </w:rPr>
        <w:t xml:space="preserve">El beneficio de división </w:t>
      </w:r>
      <w:r w:rsidRPr="00E42BFF">
        <w:rPr>
          <w:rFonts w:ascii="Arial" w:hAnsi="Arial" w:cs="Arial"/>
          <w:bCs/>
          <w:sz w:val="20"/>
          <w:szCs w:val="20"/>
          <w:shd w:val="clear" w:color="auto" w:fill="FFFFFF"/>
        </w:rPr>
        <w:t>podría aplicarse en aquellos supuestos en los que puedan concurrir dos o más avalistas para una misma deuda</w:t>
      </w:r>
      <w:r w:rsidRPr="00E42BFF">
        <w:rPr>
          <w:rFonts w:ascii="Arial" w:hAnsi="Arial" w:cs="Arial"/>
          <w:sz w:val="20"/>
          <w:szCs w:val="20"/>
          <w:shd w:val="clear" w:color="auto" w:fill="FFFFFF"/>
        </w:rPr>
        <w:t>, en ese caso ésta debería ser dividida a partes iguales.</w:t>
      </w:r>
    </w:p>
    <w:p w14:paraId="55CF5392" w14:textId="77777777" w:rsidR="00F05774" w:rsidRPr="00E42BFF" w:rsidRDefault="00F05774" w:rsidP="00E42BFF">
      <w:pPr>
        <w:spacing w:after="0" w:line="360" w:lineRule="auto"/>
        <w:jc w:val="both"/>
        <w:rPr>
          <w:rFonts w:ascii="Arial" w:hAnsi="Arial" w:cs="Arial"/>
          <w:sz w:val="20"/>
          <w:szCs w:val="20"/>
          <w:shd w:val="clear" w:color="auto" w:fill="FFFFFF"/>
        </w:rPr>
      </w:pPr>
    </w:p>
    <w:p w14:paraId="0DC5D9CA" w14:textId="168E0D26" w:rsidR="00F05774" w:rsidRPr="00E42BFF" w:rsidRDefault="00F05774" w:rsidP="00E42BFF">
      <w:pPr>
        <w:spacing w:after="0" w:line="360" w:lineRule="auto"/>
        <w:jc w:val="both"/>
        <w:rPr>
          <w:rFonts w:ascii="Arial" w:hAnsi="Arial" w:cs="Arial"/>
          <w:sz w:val="20"/>
          <w:szCs w:val="20"/>
          <w:shd w:val="clear" w:color="auto" w:fill="FFFFFF"/>
        </w:rPr>
      </w:pPr>
      <w:r w:rsidRPr="00E42BFF">
        <w:rPr>
          <w:rFonts w:ascii="Arial" w:hAnsi="Arial" w:cs="Arial"/>
          <w:b/>
          <w:bCs/>
          <w:sz w:val="20"/>
          <w:szCs w:val="20"/>
          <w:shd w:val="clear" w:color="auto" w:fill="FFFFFF"/>
        </w:rPr>
        <w:t xml:space="preserve">El beneficio de orden, </w:t>
      </w:r>
      <w:r w:rsidRPr="00E42BFF">
        <w:rPr>
          <w:rFonts w:ascii="Arial" w:hAnsi="Arial" w:cs="Arial"/>
          <w:bCs/>
          <w:sz w:val="20"/>
          <w:szCs w:val="20"/>
          <w:shd w:val="clear" w:color="auto" w:fill="FFFFFF"/>
        </w:rPr>
        <w:t xml:space="preserve">al igual que el beneficio de división, podría aplicarse en aquellos supuestos en los que puedan concurrir dos o más avalistas para una misma deuda. Es la facultad de uno de los avalistas (normalmente al que no es el primero de ellos) para exigir al beneficiario a llevar un orden a </w:t>
      </w:r>
      <w:r w:rsidRPr="00E42BFF">
        <w:rPr>
          <w:rFonts w:ascii="Arial" w:hAnsi="Arial" w:cs="Arial"/>
          <w:bCs/>
          <w:sz w:val="20"/>
          <w:szCs w:val="20"/>
          <w:shd w:val="clear" w:color="auto" w:fill="FFFFFF"/>
        </w:rPr>
        <w:lastRenderedPageBreak/>
        <w:t>la hora de reclamar la suma adeudada (primero se debe exigir al primer avalista y después, si este no cumple o cumple parcialmente, a los demás siguiendo un orden)</w:t>
      </w:r>
      <w:r w:rsidR="002B5FFD">
        <w:rPr>
          <w:rFonts w:ascii="Arial" w:hAnsi="Arial" w:cs="Arial"/>
          <w:bCs/>
          <w:sz w:val="20"/>
          <w:szCs w:val="20"/>
          <w:shd w:val="clear" w:color="auto" w:fill="FFFFFF"/>
        </w:rPr>
        <w:t>.</w:t>
      </w:r>
    </w:p>
    <w:p w14:paraId="7A40D460" w14:textId="77777777" w:rsidR="00A140B2" w:rsidRPr="00FD2BF7" w:rsidRDefault="00A140B2" w:rsidP="00F51B76">
      <w:pPr>
        <w:spacing w:after="0"/>
        <w:ind w:left="709" w:hanging="709"/>
        <w:jc w:val="center"/>
        <w:rPr>
          <w:rFonts w:ascii="Arial" w:hAnsi="Arial" w:cs="Arial"/>
        </w:rPr>
      </w:pPr>
    </w:p>
    <w:sectPr w:rsidR="00A140B2" w:rsidRPr="00FD2BF7" w:rsidSect="00D36F7F">
      <w:headerReference w:type="even" r:id="rId6"/>
      <w:headerReference w:type="default" r:id="rId7"/>
      <w:footerReference w:type="even" r:id="rId8"/>
      <w:footerReference w:type="default" r:id="rId9"/>
      <w:headerReference w:type="first" r:id="rId10"/>
      <w:footerReference w:type="first" r:id="rId11"/>
      <w:pgSz w:w="11906" w:h="16838"/>
      <w:pgMar w:top="1417" w:right="1274"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E1BBB" w14:textId="77777777" w:rsidR="004A2392" w:rsidRDefault="004A2392" w:rsidP="0073260F">
      <w:pPr>
        <w:spacing w:after="0" w:line="240" w:lineRule="auto"/>
      </w:pPr>
      <w:r>
        <w:separator/>
      </w:r>
    </w:p>
  </w:endnote>
  <w:endnote w:type="continuationSeparator" w:id="0">
    <w:p w14:paraId="697A9046" w14:textId="77777777" w:rsidR="004A2392" w:rsidRDefault="004A2392" w:rsidP="007326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mo">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4B300" w14:textId="77777777" w:rsidR="00D74DC2" w:rsidRDefault="00D74DC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8032E" w14:textId="77777777" w:rsidR="00D74DC2" w:rsidRDefault="00D74DC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25446" w14:textId="77777777" w:rsidR="00D74DC2" w:rsidRDefault="00D74DC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5291F" w14:textId="77777777" w:rsidR="004A2392" w:rsidRDefault="004A2392" w:rsidP="0073260F">
      <w:pPr>
        <w:spacing w:after="0" w:line="240" w:lineRule="auto"/>
      </w:pPr>
      <w:r>
        <w:separator/>
      </w:r>
    </w:p>
  </w:footnote>
  <w:footnote w:type="continuationSeparator" w:id="0">
    <w:p w14:paraId="26576D05" w14:textId="77777777" w:rsidR="004A2392" w:rsidRDefault="004A2392" w:rsidP="007326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470DD" w14:textId="77777777" w:rsidR="00D74DC2" w:rsidRDefault="00D74DC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ED4D7" w14:textId="77777777" w:rsidR="00301084" w:rsidRDefault="00301084" w:rsidP="00301084">
    <w:pPr>
      <w:pStyle w:val="Encabezado"/>
      <w:rPr>
        <w:noProof/>
        <w:lang w:eastAsia="es-ES"/>
      </w:rPr>
    </w:pPr>
    <w:r w:rsidRPr="00D2553A">
      <w:rPr>
        <w:noProof/>
        <w:lang w:eastAsia="es-ES"/>
      </w:rPr>
      <w:drawing>
        <wp:anchor distT="0" distB="0" distL="114300" distR="114300" simplePos="0" relativeHeight="251660288" behindDoc="0" locked="0" layoutInCell="1" allowOverlap="1" wp14:anchorId="0F37F714" wp14:editId="710E6BDE">
          <wp:simplePos x="0" y="0"/>
          <wp:positionH relativeFrom="margin">
            <wp:align>right</wp:align>
          </wp:positionH>
          <wp:positionV relativeFrom="paragraph">
            <wp:posOffset>5080</wp:posOffset>
          </wp:positionV>
          <wp:extent cx="1484630" cy="483235"/>
          <wp:effectExtent l="0" t="0" r="1270" b="0"/>
          <wp:wrapNone/>
          <wp:docPr id="135350062" name="image3.jpeg" descr="Interfaz de usuario gráfica, Aplicación  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84630" cy="483235"/>
                  </a:xfrm>
                  <a:prstGeom prst="rect">
                    <a:avLst/>
                  </a:prstGeom>
                </pic:spPr>
              </pic:pic>
            </a:graphicData>
          </a:graphic>
          <wp14:sizeRelH relativeFrom="page">
            <wp14:pctWidth>0</wp14:pctWidth>
          </wp14:sizeRelH>
          <wp14:sizeRelV relativeFrom="page">
            <wp14:pctHeight>0</wp14:pctHeight>
          </wp14:sizeRelV>
        </wp:anchor>
      </w:drawing>
    </w:r>
    <w:r w:rsidRPr="00D2553A">
      <w:rPr>
        <w:noProof/>
        <w:lang w:eastAsia="es-ES"/>
      </w:rPr>
      <w:drawing>
        <wp:anchor distT="0" distB="0" distL="114300" distR="114300" simplePos="0" relativeHeight="251659264" behindDoc="0" locked="0" layoutInCell="1" allowOverlap="1" wp14:anchorId="514D06ED" wp14:editId="130FA5DD">
          <wp:simplePos x="0" y="0"/>
          <wp:positionH relativeFrom="margin">
            <wp:posOffset>2567940</wp:posOffset>
          </wp:positionH>
          <wp:positionV relativeFrom="paragraph">
            <wp:posOffset>-48895</wp:posOffset>
          </wp:positionV>
          <wp:extent cx="608330" cy="481965"/>
          <wp:effectExtent l="0" t="0" r="1270" b="0"/>
          <wp:wrapNone/>
          <wp:docPr id="765328126" name="Imagen 11"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328126" name="Imagen 11" descr="Logotipo&#10;&#10;El contenido generado por IA puede ser incorrecto."/>
                  <pic:cNvPicPr>
                    <a:picLocks noChangeAspect="1"/>
                  </pic:cNvPicPr>
                </pic:nvPicPr>
                <pic:blipFill>
                  <a:blip r:embed="rId2"/>
                  <a:stretch>
                    <a:fillRect/>
                  </a:stretch>
                </pic:blipFill>
                <pic:spPr>
                  <a:xfrm>
                    <a:off x="0" y="0"/>
                    <a:ext cx="608330" cy="481965"/>
                  </a:xfrm>
                  <a:prstGeom prst="rect">
                    <a:avLst/>
                  </a:prstGeom>
                </pic:spPr>
              </pic:pic>
            </a:graphicData>
          </a:graphic>
          <wp14:sizeRelH relativeFrom="margin">
            <wp14:pctWidth>0</wp14:pctWidth>
          </wp14:sizeRelH>
          <wp14:sizeRelV relativeFrom="margin">
            <wp14:pctHeight>0</wp14:pctHeight>
          </wp14:sizeRelV>
        </wp:anchor>
      </w:drawing>
    </w:r>
    <w:r w:rsidRPr="00D2553A">
      <w:rPr>
        <w:noProof/>
        <w:lang w:eastAsia="es-ES"/>
      </w:rPr>
      <w:drawing>
        <wp:inline distT="0" distB="0" distL="0" distR="0" wp14:anchorId="5A5ADB1C" wp14:editId="6A94BA7A">
          <wp:extent cx="1965600" cy="482400"/>
          <wp:effectExtent l="0" t="0" r="0" b="0"/>
          <wp:docPr id="1605560699" name="Imagen 1605560699" descr="C:\Users\rales1\AppData\Local\Microsoft\Windows\INetCache\Content.MSO\29ADB82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560699" name="Imagen 1605560699" descr="C:\Users\rales1\AppData\Local\Microsoft\Windows\INetCache\Content.MSO\29ADB82A.tmp"/>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65600" cy="482400"/>
                  </a:xfrm>
                  <a:prstGeom prst="rect">
                    <a:avLst/>
                  </a:prstGeom>
                  <a:noFill/>
                  <a:ln>
                    <a:noFill/>
                  </a:ln>
                </pic:spPr>
              </pic:pic>
            </a:graphicData>
          </a:graphic>
        </wp:inline>
      </w:drawing>
    </w:r>
    <w:r>
      <w:rPr>
        <w:noProof/>
        <w:lang w:eastAsia="es-ES"/>
      </w:rPr>
      <w:t xml:space="preserve">           </w:t>
    </w:r>
    <w:r w:rsidRPr="00D2553A">
      <w:rPr>
        <w:noProof/>
        <w:lang w:eastAsia="es-ES"/>
      </w:rPr>
      <w:tab/>
      <w:t xml:space="preserve">   </w:t>
    </w:r>
    <w:r w:rsidRPr="00D2553A">
      <w:rPr>
        <w:noProof/>
        <w:lang w:eastAsia="es-ES"/>
      </w:rPr>
      <w:tab/>
    </w:r>
  </w:p>
  <w:p w14:paraId="58879CBF" w14:textId="7B815B53" w:rsidR="0073260F" w:rsidRDefault="0073260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19224" w14:textId="77777777" w:rsidR="00D74DC2" w:rsidRDefault="00D74DC2">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1E8"/>
    <w:rsid w:val="000025D4"/>
    <w:rsid w:val="00012FFA"/>
    <w:rsid w:val="000465A5"/>
    <w:rsid w:val="00060A41"/>
    <w:rsid w:val="000611E8"/>
    <w:rsid w:val="000751B0"/>
    <w:rsid w:val="00094B4A"/>
    <w:rsid w:val="00094F6A"/>
    <w:rsid w:val="000C0AF6"/>
    <w:rsid w:val="000C36B8"/>
    <w:rsid w:val="00105491"/>
    <w:rsid w:val="00111923"/>
    <w:rsid w:val="0016416D"/>
    <w:rsid w:val="0019306A"/>
    <w:rsid w:val="00195456"/>
    <w:rsid w:val="001A33EB"/>
    <w:rsid w:val="002459D4"/>
    <w:rsid w:val="00251C02"/>
    <w:rsid w:val="00277352"/>
    <w:rsid w:val="00281DF4"/>
    <w:rsid w:val="002B5FFD"/>
    <w:rsid w:val="002F2F84"/>
    <w:rsid w:val="00301084"/>
    <w:rsid w:val="00381DAD"/>
    <w:rsid w:val="00395821"/>
    <w:rsid w:val="003974E7"/>
    <w:rsid w:val="003A00B0"/>
    <w:rsid w:val="003B4702"/>
    <w:rsid w:val="003C669C"/>
    <w:rsid w:val="003C6F84"/>
    <w:rsid w:val="003E424C"/>
    <w:rsid w:val="003F23F6"/>
    <w:rsid w:val="00405ECD"/>
    <w:rsid w:val="004148AE"/>
    <w:rsid w:val="00472A46"/>
    <w:rsid w:val="004A2392"/>
    <w:rsid w:val="004D067B"/>
    <w:rsid w:val="0051315C"/>
    <w:rsid w:val="005276C4"/>
    <w:rsid w:val="00554251"/>
    <w:rsid w:val="00584565"/>
    <w:rsid w:val="005A4D54"/>
    <w:rsid w:val="006503A6"/>
    <w:rsid w:val="00656B04"/>
    <w:rsid w:val="00687E07"/>
    <w:rsid w:val="006905EB"/>
    <w:rsid w:val="006E7E4B"/>
    <w:rsid w:val="007118E7"/>
    <w:rsid w:val="00716085"/>
    <w:rsid w:val="0073260F"/>
    <w:rsid w:val="007637C7"/>
    <w:rsid w:val="00770B01"/>
    <w:rsid w:val="007C2A82"/>
    <w:rsid w:val="00805413"/>
    <w:rsid w:val="00834A81"/>
    <w:rsid w:val="008A3520"/>
    <w:rsid w:val="008B289E"/>
    <w:rsid w:val="008E24C2"/>
    <w:rsid w:val="00900285"/>
    <w:rsid w:val="00950F9A"/>
    <w:rsid w:val="0096366D"/>
    <w:rsid w:val="00983B87"/>
    <w:rsid w:val="009A254D"/>
    <w:rsid w:val="009A2957"/>
    <w:rsid w:val="009D2C69"/>
    <w:rsid w:val="00A0709B"/>
    <w:rsid w:val="00A118F1"/>
    <w:rsid w:val="00A140B2"/>
    <w:rsid w:val="00A26C8F"/>
    <w:rsid w:val="00A70109"/>
    <w:rsid w:val="00AB1E07"/>
    <w:rsid w:val="00B241A4"/>
    <w:rsid w:val="00B30A5D"/>
    <w:rsid w:val="00B45219"/>
    <w:rsid w:val="00C06D46"/>
    <w:rsid w:val="00C3284D"/>
    <w:rsid w:val="00C40FBE"/>
    <w:rsid w:val="00C87648"/>
    <w:rsid w:val="00CF6E1D"/>
    <w:rsid w:val="00CF7DAA"/>
    <w:rsid w:val="00D36F7F"/>
    <w:rsid w:val="00D70A31"/>
    <w:rsid w:val="00D74DC2"/>
    <w:rsid w:val="00D859E4"/>
    <w:rsid w:val="00D91DA8"/>
    <w:rsid w:val="00DD2FB6"/>
    <w:rsid w:val="00E0225D"/>
    <w:rsid w:val="00E42BFF"/>
    <w:rsid w:val="00E820C7"/>
    <w:rsid w:val="00E8690B"/>
    <w:rsid w:val="00F04472"/>
    <w:rsid w:val="00F05774"/>
    <w:rsid w:val="00F20BB7"/>
    <w:rsid w:val="00F51B76"/>
    <w:rsid w:val="00FD2BF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47EBE3F"/>
  <w15:chartTrackingRefBased/>
  <w15:docId w15:val="{27226881-6F4A-4D37-B9C8-8E3A2A1C4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3260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3260F"/>
  </w:style>
  <w:style w:type="paragraph" w:styleId="Piedepgina">
    <w:name w:val="footer"/>
    <w:basedOn w:val="Normal"/>
    <w:link w:val="PiedepginaCar"/>
    <w:uiPriority w:val="99"/>
    <w:unhideWhenUsed/>
    <w:rsid w:val="0073260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3260F"/>
  </w:style>
  <w:style w:type="character" w:customStyle="1" w:styleId="normaltextrun">
    <w:name w:val="normaltextrun"/>
    <w:basedOn w:val="Fuentedeprrafopredeter"/>
    <w:rsid w:val="008E24C2"/>
  </w:style>
  <w:style w:type="character" w:customStyle="1" w:styleId="eop">
    <w:name w:val="eop"/>
    <w:basedOn w:val="Fuentedeprrafopredeter"/>
    <w:rsid w:val="008E24C2"/>
  </w:style>
  <w:style w:type="paragraph" w:customStyle="1" w:styleId="Default">
    <w:name w:val="Default"/>
    <w:rsid w:val="008E24C2"/>
    <w:pPr>
      <w:autoSpaceDE w:val="0"/>
      <w:autoSpaceDN w:val="0"/>
      <w:adjustRightInd w:val="0"/>
      <w:spacing w:after="0" w:line="240" w:lineRule="auto"/>
    </w:pPr>
    <w:rPr>
      <w:rFonts w:ascii="Arimo" w:hAnsi="Arimo" w:cs="Arimo"/>
      <w:color w:val="000000"/>
      <w:sz w:val="24"/>
      <w:szCs w:val="24"/>
    </w:rPr>
  </w:style>
  <w:style w:type="paragraph" w:styleId="Prrafodelista">
    <w:name w:val="List Paragraph"/>
    <w:basedOn w:val="Normal"/>
    <w:uiPriority w:val="34"/>
    <w:qFormat/>
    <w:rsid w:val="00A118F1"/>
    <w:pPr>
      <w:ind w:left="720"/>
      <w:contextualSpacing/>
    </w:pPr>
  </w:style>
  <w:style w:type="character" w:styleId="Textoennegrita">
    <w:name w:val="Strong"/>
    <w:uiPriority w:val="22"/>
    <w:qFormat/>
    <w:rsid w:val="00F05774"/>
    <w:rPr>
      <w:b/>
      <w:bCs/>
    </w:rPr>
  </w:style>
  <w:style w:type="paragraph" w:styleId="NormalWeb">
    <w:name w:val="Normal (Web)"/>
    <w:basedOn w:val="Normal"/>
    <w:uiPriority w:val="99"/>
    <w:unhideWhenUsed/>
    <w:rsid w:val="00F05774"/>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243440">
      <w:bodyDiv w:val="1"/>
      <w:marLeft w:val="0"/>
      <w:marRight w:val="0"/>
      <w:marTop w:val="0"/>
      <w:marBottom w:val="0"/>
      <w:divBdr>
        <w:top w:val="none" w:sz="0" w:space="0" w:color="auto"/>
        <w:left w:val="none" w:sz="0" w:space="0" w:color="auto"/>
        <w:bottom w:val="none" w:sz="0" w:space="0" w:color="auto"/>
        <w:right w:val="none" w:sz="0" w:space="0" w:color="auto"/>
      </w:divBdr>
    </w:div>
    <w:div w:id="145498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454</Words>
  <Characters>2500</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Sánchez-Escariche Gasch, María</cp:lastModifiedBy>
  <cp:revision>2</cp:revision>
  <cp:lastPrinted>2024-01-22T11:16:00Z</cp:lastPrinted>
  <dcterms:created xsi:type="dcterms:W3CDTF">2024-11-21T13:05:00Z</dcterms:created>
  <dcterms:modified xsi:type="dcterms:W3CDTF">2025-09-19T10:36:00Z</dcterms:modified>
</cp:coreProperties>
</file>